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FB0" w:rsidRPr="00726BD1" w:rsidRDefault="002D1FB0" w:rsidP="002D1FB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D3528">
        <w:rPr>
          <w:rFonts w:ascii="Arial" w:hAnsi="Arial" w:cs="Arial"/>
          <w:b/>
          <w:bCs/>
          <w:sz w:val="28"/>
        </w:rPr>
        <w:t>#96</w:t>
      </w:r>
      <w:r w:rsidR="00CD3528">
        <w:rPr>
          <w:rFonts w:ascii="Arial" w:hAnsi="Arial" w:cs="Arial"/>
          <w:b/>
          <w:bCs/>
          <w:sz w:val="28"/>
        </w:rPr>
        <w:tab/>
        <w:t xml:space="preserve">              </w:t>
      </w:r>
      <w:r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ab/>
        <w:t xml:space="preserve">           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0A6C21" w:rsidRPr="000A6C21">
        <w:rPr>
          <w:rFonts w:ascii="Arial" w:hAnsi="Arial" w:cs="Arial"/>
          <w:b/>
          <w:bCs/>
          <w:sz w:val="28"/>
        </w:rPr>
        <w:t>R1-1904474</w:t>
      </w:r>
    </w:p>
    <w:p w:rsidR="002F3F7F" w:rsidRDefault="000A6C21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Xian, China, April 8</w:t>
      </w:r>
      <w:r w:rsidRPr="000A6C2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-12</w:t>
      </w:r>
      <w:r w:rsidRPr="000A6C2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2F3F7F" w:rsidRPr="002F3F7F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E1A82" w:rsidRPr="00FE1A82">
        <w:rPr>
          <w:sz w:val="28"/>
          <w:szCs w:val="28"/>
          <w:lang w:eastAsia="zh-TW"/>
        </w:rPr>
        <w:t>CSI enhancement for MU-MIMO</w:t>
      </w:r>
    </w:p>
    <w:p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E1A82">
        <w:rPr>
          <w:sz w:val="28"/>
          <w:szCs w:val="28"/>
          <w:lang w:eastAsia="zh-TW"/>
        </w:rPr>
        <w:t>7.2.8.1</w:t>
      </w:r>
    </w:p>
    <w:p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sdt>
      <w:sdtPr>
        <w:rPr>
          <w:rFonts w:ascii="Times New Roman" w:eastAsia="PMingLiU" w:hAnsi="Times New Roman" w:cs="Times New Roman"/>
          <w:color w:val="auto"/>
          <w:sz w:val="20"/>
          <w:szCs w:val="20"/>
          <w:lang w:val="en-GB"/>
        </w:rPr>
        <w:id w:val="-1963956008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noProof/>
          <w:color w:val="2E74B5" w:themeColor="accent1" w:themeShade="BF"/>
          <w:sz w:val="32"/>
          <w:szCs w:val="32"/>
          <w:lang w:val="en-US"/>
        </w:rPr>
      </w:sdtEndPr>
      <w:sdtContent>
        <w:p w:rsidR="00194C2F" w:rsidDel="00194C2F" w:rsidRDefault="00194C2F" w:rsidP="00C84AEF">
          <w:pPr>
            <w:pStyle w:val="TOCHeading"/>
          </w:pPr>
        </w:p>
        <w:p w:rsidR="002651FC" w:rsidRDefault="00CE79A3" w:rsidP="00C84AEF">
          <w:pPr>
            <w:pStyle w:val="TOCHeading"/>
            <w:rPr>
              <w:lang w:eastAsia="zh-TW"/>
            </w:rPr>
          </w:pPr>
        </w:p>
      </w:sdtContent>
    </w:sdt>
    <w:p w:rsidR="002D1FB0" w:rsidRDefault="002D1FB0" w:rsidP="002D1FB0">
      <w:pPr>
        <w:pStyle w:val="Heading1"/>
      </w:pPr>
      <w:bookmarkStart w:id="2" w:name="_Toc1135643"/>
      <w:r>
        <w:rPr>
          <w:rFonts w:hint="eastAsia"/>
        </w:rPr>
        <w:t>Introduction</w:t>
      </w:r>
      <w:bookmarkEnd w:id="2"/>
    </w:p>
    <w:p w:rsidR="00CD2380" w:rsidRDefault="00226D75" w:rsidP="00CD2380">
      <w:pPr>
        <w:rPr>
          <w:lang w:eastAsia="zh-TW"/>
        </w:rPr>
      </w:pPr>
      <w:r>
        <w:rPr>
          <w:lang w:eastAsia="zh-TW"/>
        </w:rPr>
        <w:t>From previous meetings, agreements on MU-CSI were reached:</w:t>
      </w:r>
    </w:p>
    <w:p w:rsidR="001D4A6A" w:rsidRDefault="00CD2380" w:rsidP="001D4A6A">
      <w:pPr>
        <w:pStyle w:val="ListParagraph"/>
        <w:numPr>
          <w:ilvl w:val="0"/>
          <w:numId w:val="37"/>
        </w:numPr>
        <w:rPr>
          <w:lang w:val="en-US" w:eastAsia="ko-KR"/>
        </w:rPr>
      </w:pPr>
      <w:r w:rsidRPr="001D4A6A">
        <w:rPr>
          <w:lang w:val="en-US" w:eastAsia="ko-KR"/>
        </w:rPr>
        <w:object w:dxaOrig="1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4pt;height:33.65pt" o:ole="">
            <v:imagedata r:id="rId8" o:title=""/>
          </v:shape>
          <o:OLEObject Type="Embed" ProgID="Equation.DSMT4" ShapeID="_x0000_i1025" DrawAspect="Content" ObjectID="_1615373750" r:id="rId9"/>
        </w:object>
      </w:r>
    </w:p>
    <w:p w:rsidR="001D4A6A" w:rsidRPr="001D4A6A" w:rsidRDefault="0024441B" w:rsidP="001D4A6A">
      <w:pPr>
        <w:pStyle w:val="ListParagraph"/>
        <w:numPr>
          <w:ilvl w:val="0"/>
          <w:numId w:val="37"/>
        </w:numPr>
        <w:rPr>
          <w:lang w:val="en-US" w:eastAsia="ko-KR"/>
        </w:rPr>
      </w:pPr>
      <w:r w:rsidRPr="001D4A6A">
        <w:rPr>
          <w:lang w:val="en-US"/>
        </w:rPr>
        <w:t>Size-K</w:t>
      </w:r>
      <w:r w:rsidRPr="001D4A6A">
        <w:rPr>
          <w:vertAlign w:val="subscript"/>
          <w:lang w:val="en-US"/>
        </w:rPr>
        <w:t>0</w:t>
      </w:r>
      <w:r w:rsidRPr="001D4A6A">
        <w:rPr>
          <w:lang w:val="en-US"/>
        </w:rPr>
        <w:fldChar w:fldCharType="begin"/>
      </w:r>
      <w:r w:rsidRPr="001D4A6A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0</m:t>
            </m:r>
          </m:sub>
        </m:sSub>
      </m:oMath>
      <w:r w:rsidRPr="001D4A6A">
        <w:rPr>
          <w:lang w:val="en-US"/>
        </w:rPr>
        <w:instrText xml:space="preserve"> </w:instrText>
      </w:r>
      <w:r w:rsidRPr="001D4A6A">
        <w:rPr>
          <w:lang w:val="en-US"/>
        </w:rPr>
        <w:fldChar w:fldCharType="end"/>
      </w:r>
      <w:r w:rsidRPr="001D4A6A">
        <w:rPr>
          <w:lang w:val="en-US"/>
        </w:rPr>
        <w:t xml:space="preserve"> subset design</w:t>
      </w:r>
      <w:r w:rsidR="001D4A6A" w:rsidRPr="001D4A6A">
        <w:rPr>
          <w:lang w:val="en-US"/>
        </w:rPr>
        <w:t>:</w:t>
      </w:r>
      <w:r w:rsidRPr="001D4A6A">
        <w:rPr>
          <w:lang w:val="en-US"/>
        </w:rPr>
        <w:t xml:space="preserve"> </w:t>
      </w:r>
      <w:r w:rsidRPr="001D4A6A">
        <w:rPr>
          <w:lang w:val="en-US"/>
        </w:rPr>
        <w:t>he value of K</w:t>
      </w:r>
      <w:r w:rsidRPr="001D4A6A">
        <w:rPr>
          <w:vertAlign w:val="subscript"/>
          <w:lang w:val="en-US"/>
        </w:rPr>
        <w:t>0</w:t>
      </w:r>
      <w:r w:rsidRPr="001D4A6A">
        <w:rPr>
          <w:iCs/>
          <w:lang w:val="en-US"/>
        </w:rPr>
        <w:t xml:space="preserve">: </w:t>
      </w:r>
      <w:r w:rsidRPr="00C85103">
        <w:rPr>
          <w:iCs/>
          <w:position w:val="-14"/>
          <w:lang w:val="en-US"/>
        </w:rPr>
        <w:object w:dxaOrig="1660" w:dyaOrig="400">
          <v:shape id="_x0000_i1027" type="#_x0000_t75" style="width:86.65pt;height:21.75pt" o:ole="">
            <v:imagedata r:id="rId10" o:title=""/>
          </v:shape>
          <o:OLEObject Type="Embed" ProgID="Equation.DSMT4" ShapeID="_x0000_i1027" DrawAspect="Content" ObjectID="_1615373751" r:id="rId11"/>
        </w:object>
      </w:r>
      <w:r w:rsidRPr="001D4A6A">
        <w:rPr>
          <w:iCs/>
          <w:lang w:val="en-US"/>
        </w:rPr>
        <w:t xml:space="preserve"> </w:t>
      </w:r>
      <w:r w:rsidRPr="001D4A6A">
        <w:rPr>
          <w:iCs/>
          <w:lang w:val="sv-SE"/>
        </w:rPr>
        <w:fldChar w:fldCharType="begin"/>
      </w:r>
      <w:r w:rsidRPr="001D4A6A">
        <w:rPr>
          <w:iCs/>
          <w:lang w:val="sv-SE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sv-S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4"/>
                <w:lang w:val="sv-S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lang w:val="sv-SE"/>
              </w:rPr>
              <m:t>β×2LM</m:t>
            </m:r>
          </m:e>
        </m:d>
      </m:oMath>
      <w:r w:rsidRPr="001D4A6A">
        <w:rPr>
          <w:iCs/>
          <w:lang w:val="sv-SE"/>
        </w:rPr>
        <w:instrText xml:space="preserve"> </w:instrText>
      </w:r>
      <w:r w:rsidRPr="001D4A6A">
        <w:rPr>
          <w:iCs/>
          <w:lang w:val="sv-SE"/>
        </w:rPr>
        <w:fldChar w:fldCharType="end"/>
      </w:r>
      <w:r w:rsidRPr="001D4A6A">
        <w:rPr>
          <w:iCs/>
          <w:lang w:val="sv-SE"/>
        </w:rPr>
        <w:t xml:space="preserve"> </w:t>
      </w:r>
      <w:r w:rsidRPr="001D4A6A">
        <w:rPr>
          <w:iCs/>
          <w:lang w:val="sv-SE"/>
        </w:rPr>
        <w:t xml:space="preserve"> </w:t>
      </w:r>
      <w:r w:rsidRPr="001D4A6A">
        <w:rPr>
          <w:iCs/>
          <w:lang w:val="sv-SE"/>
        </w:rPr>
        <w:t xml:space="preserve">  </w:t>
      </w:r>
    </w:p>
    <w:p w:rsidR="00CD2380" w:rsidRPr="001D4A6A" w:rsidRDefault="00CD2380" w:rsidP="001D4A6A">
      <w:pPr>
        <w:pStyle w:val="ListParagraph"/>
        <w:numPr>
          <w:ilvl w:val="0"/>
          <w:numId w:val="37"/>
        </w:numPr>
        <w:rPr>
          <w:lang w:val="en-US" w:eastAsia="ko-KR"/>
        </w:rPr>
      </w:pPr>
      <w:r w:rsidRPr="001D4A6A">
        <w:rPr>
          <w:lang w:val="en-US"/>
        </w:rPr>
        <w:t>On subset selection for layer 0, agree on the following:</w:t>
      </w:r>
    </w:p>
    <w:p w:rsidR="00CD2380" w:rsidRPr="0003060C" w:rsidRDefault="00CD2380" w:rsidP="0024441B">
      <w:pPr>
        <w:pStyle w:val="Style1"/>
        <w:numPr>
          <w:ilvl w:val="0"/>
          <w:numId w:val="34"/>
        </w:numPr>
        <w:spacing w:after="0" w:line="240" w:lineRule="auto"/>
        <w:rPr>
          <w:rFonts w:cs="Times New Roman"/>
          <w:lang w:val="en-US"/>
        </w:rPr>
      </w:pPr>
      <w:r w:rsidRPr="0003060C">
        <w:rPr>
          <w:rFonts w:cs="Times New Roman"/>
          <w:lang w:val="en-US"/>
        </w:rPr>
        <w:t>Unrestricted (polarization-independent) subset selection which requires a size-2LM bitmap in UCI part 2</w:t>
      </w:r>
    </w:p>
    <w:p w:rsidR="00CD2380" w:rsidRPr="0003060C" w:rsidRDefault="00CD2380" w:rsidP="0024441B">
      <w:pPr>
        <w:pStyle w:val="Style1"/>
        <w:numPr>
          <w:ilvl w:val="0"/>
          <w:numId w:val="34"/>
        </w:numPr>
        <w:spacing w:after="0" w:line="240" w:lineRule="auto"/>
        <w:rPr>
          <w:rFonts w:cs="Times New Roman"/>
          <w:lang w:val="en-US"/>
        </w:rPr>
      </w:pPr>
      <w:r w:rsidRPr="0003060C">
        <w:rPr>
          <w:rFonts w:cs="Times New Roman"/>
          <w:lang w:val="en-US"/>
        </w:rPr>
        <w:fldChar w:fldCharType="begin"/>
      </w:r>
      <w:r w:rsidRPr="0003060C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US"/>
          </w:rPr>
          <m:t>β∈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</m:e>
        </m:d>
      </m:oMath>
      <w:r w:rsidRPr="0003060C">
        <w:rPr>
          <w:rFonts w:cs="Times New Roman"/>
          <w:lang w:val="en-US"/>
        </w:rPr>
        <w:instrText xml:space="preserve"> </w:instrText>
      </w:r>
      <w:r w:rsidRPr="0003060C">
        <w:rPr>
          <w:rFonts w:cs="Times New Roman"/>
          <w:lang w:val="en-US"/>
        </w:rPr>
        <w:fldChar w:fldCharType="end"/>
      </w:r>
      <w:r w:rsidRPr="0003060C">
        <w:rPr>
          <w:rFonts w:cs="Times New Roman"/>
          <w:position w:val="-28"/>
          <w:lang w:val="en-US"/>
        </w:rPr>
        <w:object w:dxaOrig="1420" w:dyaOrig="680">
          <v:shape id="_x0000_i1026" type="#_x0000_t75" style="width:1in;height:36.4pt" o:ole="">
            <v:imagedata r:id="rId12" o:title=""/>
          </v:shape>
          <o:OLEObject Type="Embed" ProgID="Equation.DSMT4" ShapeID="_x0000_i1026" DrawAspect="Content" ObjectID="_1615373752" r:id="rId13"/>
        </w:object>
      </w:r>
      <w:r>
        <w:rPr>
          <w:rFonts w:cs="Times New Roman"/>
          <w:lang w:val="en-US"/>
        </w:rPr>
        <w:t xml:space="preserve"> </w:t>
      </w:r>
    </w:p>
    <w:p w:rsidR="00CD2380" w:rsidRPr="00CD2380" w:rsidRDefault="00CD2380" w:rsidP="00CD2380">
      <w:pPr>
        <w:rPr>
          <w:lang w:val="en-US" w:eastAsia="zh-TW"/>
        </w:rPr>
      </w:pPr>
    </w:p>
    <w:p w:rsidR="00CA397B" w:rsidRDefault="00CA397B" w:rsidP="00CA397B">
      <w:pPr>
        <w:rPr>
          <w:lang w:val="en-US" w:eastAsia="zh-TW"/>
        </w:rPr>
      </w:pPr>
      <w:r>
        <w:rPr>
          <w:lang w:val="en-US" w:eastAsia="zh-TW"/>
        </w:rPr>
        <w:t xml:space="preserve">In this contribution, we provide our views on </w:t>
      </w:r>
      <w:r w:rsidR="00194C2F">
        <w:rPr>
          <w:lang w:val="en-US" w:eastAsia="zh-TW"/>
        </w:rPr>
        <w:t>MU CSI enhancement</w:t>
      </w:r>
      <w:r>
        <w:rPr>
          <w:lang w:val="en-US" w:eastAsia="zh-TW"/>
        </w:rPr>
        <w:t>.</w:t>
      </w:r>
    </w:p>
    <w:p w:rsidR="00CA397B" w:rsidRDefault="0024441B" w:rsidP="00CA397B">
      <w:pPr>
        <w:pStyle w:val="Heading1"/>
      </w:pPr>
      <w:r>
        <w:t>Discussion on DFT size</w:t>
      </w:r>
    </w:p>
    <w:p w:rsidR="00CA397B" w:rsidRDefault="00CA397B" w:rsidP="00CA397B">
      <w:pPr>
        <w:rPr>
          <w:lang w:val="en-US" w:eastAsia="zh-TW"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We first establish notations to be used below</w:t>
      </w:r>
      <w:r w:rsidR="001D4A6A">
        <w:rPr>
          <w:noProof/>
        </w:rPr>
        <w:t xml:space="preserve"> as used in [1-3]</w:t>
      </w:r>
      <w:bookmarkStart w:id="3" w:name="_GoBack"/>
      <w:bookmarkEnd w:id="3"/>
      <w:r>
        <w:rPr>
          <w:noProof/>
        </w:rPr>
        <w:t>.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E13523">
        <w:rPr>
          <w:noProof/>
        </w:rPr>
        <w:t xml:space="preserve">A rank </w:t>
      </w:r>
      <m:oMath>
        <m:r>
          <w:rPr>
            <w:rFonts w:ascii="Cambria Math" w:hAnsi="Cambria Math"/>
            <w:noProof/>
          </w:rPr>
          <m:t>R</m:t>
        </m:r>
      </m:oMath>
      <w:r w:rsidRPr="00E13523">
        <w:rPr>
          <w:noProof/>
        </w:rPr>
        <w:t xml:space="preserve"> linear combination precoder can be written as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rPr>
          <w:noProof/>
        </w:rPr>
      </w:pPr>
      <w:r w:rsidRPr="00E13523">
        <w:rPr>
          <w:noProof/>
        </w:rP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noProof/>
                    </w:rPr>
                    <m:t>B</m:t>
                  </m:r>
                </m:e>
                <m:e/>
              </m:mr>
              <m:mr>
                <m:e/>
                <m:e>
                  <m:r>
                    <w:rPr>
                      <w:rFonts w:ascii="Cambria Math" w:hAnsi="Cambria Math"/>
                      <w:noProof/>
                    </w:rPr>
                    <m:t>B</m:t>
                  </m:r>
                </m:e>
              </m:mr>
            </m:m>
          </m:e>
        </m:d>
        <m:limLow>
          <m:limLowPr>
            <m:ctrlPr>
              <w:rPr>
                <w:rFonts w:ascii="Cambria Math" w:hAnsi="Cambria Math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</w:rPr>
                </m:ctrlPr>
              </m:groupChr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3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0,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⋮</m:t>
                          </m:r>
                        </m:e>
                        <m:e/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⋮</m:t>
                          </m:r>
                        </m:e>
                        <m:e/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-1,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⋮</m:t>
                          </m:r>
                        </m:e>
                        <m:e/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⋮</m:t>
                          </m:r>
                        </m:e>
                        <m:e/>
                        <m:e/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-1,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r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f</m:t>
                              </m:r>
                            </m:sub>
                          </m:sSub>
                        </m:e>
                        <m:e/>
                        <m:e/>
                      </m:mr>
                    </m:m>
                  </m:e>
                </m:d>
              </m:e>
            </m:groupChr>
          </m:e>
          <m:li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W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,</m:t>
                </m:r>
                <m:r>
                  <w:rPr>
                    <w:rFonts w:ascii="Cambria Math" w:hAnsi="Cambria Math"/>
                    <w:noProof/>
                  </w:rPr>
                  <m:t>f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(2)</m:t>
                </m:r>
              </m:sup>
            </m:sSubSup>
          </m:lim>
        </m:limLow>
      </m:oMath>
    </w:p>
    <w:p w:rsidR="00CA397B" w:rsidRPr="00E13523" w:rsidRDefault="00CA397B" w:rsidP="00CA397B">
      <w:pPr>
        <w:tabs>
          <w:tab w:val="center" w:pos="4800"/>
          <w:tab w:val="right" w:pos="9500"/>
        </w:tabs>
        <w:jc w:val="both"/>
        <w:rPr>
          <w:noProof/>
        </w:rPr>
      </w:pPr>
      <w:r w:rsidRPr="00E13523">
        <w:rPr>
          <w:noProof/>
        </w:rPr>
        <w:t>Where</w:t>
      </w:r>
    </w:p>
    <w:p w:rsidR="00CA397B" w:rsidRPr="00E13523" w:rsidRDefault="00CA397B" w:rsidP="00CA397B">
      <w:pPr>
        <w:tabs>
          <w:tab w:val="center" w:pos="4800"/>
          <w:tab w:val="right" w:pos="9500"/>
        </w:tabs>
        <w:jc w:val="both"/>
        <w:rPr>
          <w:noProof/>
        </w:rPr>
      </w:pPr>
      <m:oMath>
        <m:r>
          <w:rPr>
            <w:rFonts w:ascii="Cambria Math" w:hAnsi="Cambria Math"/>
            <w:noProof/>
          </w:rPr>
          <m:t>B</m:t>
        </m:r>
        <m:r>
          <m:rPr>
            <m:sty m:val="p"/>
          </m:rPr>
          <w:rPr>
            <w:rFonts w:ascii="Cambria Math" w:hAnsi="Cambria Math"/>
            <w:noProof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5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l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L</m:t>
                      </m:r>
                    </m:sub>
                  </m:sSub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noProof/>
          </w:rPr>
          <m:t>,</m:t>
        </m:r>
      </m:oMath>
      <w:r w:rsidRPr="00E13523">
        <w:rPr>
          <w:noProof/>
        </w:rPr>
        <w:t xml:space="preserve"> </w:t>
      </w:r>
      <m:oMath>
        <m:r>
          <w:rPr>
            <w:rFonts w:ascii="Cambria Math" w:hAnsi="Cambria Math"/>
            <w:noProof/>
          </w:rPr>
          <m:t>L</m:t>
        </m:r>
      </m:oMath>
      <w:r w:rsidRPr="00E13523">
        <w:rPr>
          <w:noProof/>
        </w:rPr>
        <w:t xml:space="preserve"> is the number of spatial beams per polarization,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b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, </w:t>
      </w:r>
      <m:oMath>
        <m:r>
          <m:rPr>
            <m:sty m:val="p"/>
          </m:rPr>
          <w:rPr>
            <w:rFonts w:ascii="Cambria Math" w:hAnsi="Cambria Math"/>
            <w:noProof/>
          </w:rPr>
          <m:t>1≤</m:t>
        </m:r>
        <m:r>
          <w:rPr>
            <w:rFonts w:ascii="Cambria Math" w:hAnsi="Cambria Math"/>
            <w:noProof/>
          </w:rPr>
          <m:t>i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r>
          <w:rPr>
            <w:rFonts w:ascii="Cambria Math" w:hAnsi="Cambria Math"/>
            <w:noProof/>
          </w:rPr>
          <m:t>L</m:t>
        </m:r>
      </m:oMath>
      <w:r w:rsidRPr="00E13523">
        <w:rPr>
          <w:noProof/>
        </w:rPr>
        <w:t xml:space="preserve"> are the spatial beams selected in a wideband fashion per polarization, and in total </w:t>
      </w:r>
      <m:oMath>
        <m:r>
          <m:rPr>
            <m:sty m:val="p"/>
          </m:rPr>
          <w:rPr>
            <w:rFonts w:ascii="Cambria Math" w:hAnsi="Cambria Math"/>
            <w:noProof/>
          </w:rPr>
          <m:t>2</m:t>
        </m:r>
        <m:r>
          <w:rPr>
            <w:rFonts w:ascii="Cambria Math" w:hAnsi="Cambria Math"/>
            <w:noProof/>
          </w:rPr>
          <m:t>L</m:t>
        </m:r>
      </m:oMath>
      <w:r w:rsidRPr="00E13523">
        <w:rPr>
          <w:noProof/>
        </w:rPr>
        <w:t xml:space="preserve"> spatial beams are selected for two polarization as in Rel-15 Type II CSI feedback;</w:t>
      </w:r>
    </w:p>
    <w:p w:rsidR="00CA397B" w:rsidRPr="00E13523" w:rsidRDefault="00CA397B" w:rsidP="00CA397B">
      <w:pPr>
        <w:tabs>
          <w:tab w:val="center" w:pos="4800"/>
          <w:tab w:val="right" w:pos="9500"/>
        </w:tabs>
        <w:jc w:val="both"/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rPr>
          <w:noProof/>
        </w:rPr>
      </w:pPr>
      <m:oMath>
        <m:r>
          <w:rPr>
            <w:rFonts w:ascii="Cambria Math" w:hAnsi="Cambria Math"/>
            <w:noProof/>
          </w:rPr>
          <m:t>r</m:t>
        </m:r>
      </m:oMath>
      <w:r w:rsidRPr="00E13523">
        <w:rPr>
          <w:noProof/>
        </w:rPr>
        <w:t xml:space="preserve"> is the spatial layer index, </w:t>
      </w:r>
      <m:oMath>
        <m:r>
          <m:rPr>
            <m:sty m:val="p"/>
          </m:rPr>
          <w:rPr>
            <w:rFonts w:ascii="Cambria Math" w:hAnsi="Cambria Math"/>
            <w:noProof/>
          </w:rPr>
          <m:t>1≤</m:t>
        </m:r>
        <m:r>
          <w:rPr>
            <w:rFonts w:ascii="Cambria Math" w:hAnsi="Cambria Math"/>
            <w:noProof/>
          </w:rPr>
          <m:t>r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r>
          <w:rPr>
            <w:rFonts w:ascii="Cambria Math" w:hAnsi="Cambria Math"/>
            <w:noProof/>
          </w:rPr>
          <m:t>R</m:t>
        </m:r>
      </m:oMath>
      <w:r w:rsidRPr="00E13523">
        <w:rPr>
          <w:noProof/>
        </w:rPr>
        <w:t xml:space="preserve">, and </w:t>
      </w:r>
    </w:p>
    <w:p w:rsidR="00CA397B" w:rsidRPr="00E13523" w:rsidRDefault="00CA397B" w:rsidP="00CA397B">
      <w:pPr>
        <w:tabs>
          <w:tab w:val="center" w:pos="4800"/>
          <w:tab w:val="right" w:pos="9500"/>
        </w:tabs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rPr>
          <w:noProof/>
        </w:rPr>
      </w:pPr>
      <m:oMath>
        <m:r>
          <w:rPr>
            <w:rFonts w:ascii="Cambria Math" w:hAnsi="Cambria Math"/>
            <w:noProof/>
          </w:rPr>
          <m:t>f</m:t>
        </m:r>
      </m:oMath>
      <w:r w:rsidRPr="00E13523">
        <w:rPr>
          <w:noProof/>
        </w:rPr>
        <w:t xml:space="preserve"> is a frequency index (e.g. the subband index or PRB index), </w:t>
      </w:r>
      <m:oMath>
        <m:r>
          <m:rPr>
            <m:sty m:val="p"/>
          </m:rPr>
          <w:rPr>
            <w:rFonts w:ascii="Cambria Math" w:hAnsi="Cambria Math"/>
            <w:noProof/>
          </w:rPr>
          <m:t>1≤</m:t>
        </m:r>
        <m:r>
          <w:rPr>
            <w:rFonts w:ascii="Cambria Math" w:hAnsi="Cambria Math"/>
            <w:noProof/>
          </w:rPr>
          <m:t>f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 is the total number of frequency units (sub-bands, PRBs etc) over which the CSI feedback is applicable, e.g. 16 or 18.</w:t>
      </w:r>
    </w:p>
    <w:p w:rsidR="00CA397B" w:rsidRPr="00E13523" w:rsidRDefault="00CA397B" w:rsidP="00CA397B">
      <w:pPr>
        <w:tabs>
          <w:tab w:val="center" w:pos="4800"/>
          <w:tab w:val="right" w:pos="9500"/>
        </w:tabs>
        <w:rPr>
          <w:noProof/>
        </w:rPr>
      </w:pPr>
    </w:p>
    <w:p w:rsidR="00CA397B" w:rsidRDefault="00CA397B" w:rsidP="00CA397B">
      <w:pPr>
        <w:tabs>
          <w:tab w:val="center" w:pos="4800"/>
          <w:tab w:val="right" w:pos="9500"/>
        </w:tabs>
        <w:jc w:val="both"/>
        <w:rPr>
          <w:b/>
          <w:bCs/>
          <w:noProof/>
        </w:rPr>
      </w:pPr>
      <w:r w:rsidRPr="00E13523">
        <w:rPr>
          <w:b/>
          <w:bCs/>
          <w:noProof/>
        </w:rPr>
        <w:t xml:space="preserve"> Fequency unit </w:t>
      </w:r>
      <w:r w:rsidR="00194C2F">
        <w:rPr>
          <w:b/>
          <w:bCs/>
          <w:noProof/>
        </w:rPr>
        <w:t>padding and extension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E13523">
        <w:rPr>
          <w:noProof/>
        </w:rPr>
        <w:t xml:space="preserve">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 can be large,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 frequency units can be divided into a number of segments of frequency units, each segment ideally would consist of a fixed/configurable number of frequency units according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. However, depending on BWP configuration, some segments may have a less number of frequency units than others; hence it is necessary to develop a rule to divide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</m:oMath>
      <w:r w:rsidRPr="00E13523">
        <w:rPr>
          <w:noProof/>
        </w:rPr>
        <w:t xml:space="preserve">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s</m:t>
            </m:r>
          </m:sub>
        </m:sSub>
      </m:oMath>
      <w:r w:rsidRPr="00E13523">
        <w:rPr>
          <w:noProof/>
        </w:rPr>
        <w:t xml:space="preserve"> segments segment </w:t>
      </w:r>
      <m:oMath>
        <m:r>
          <w:rPr>
            <w:rFonts w:ascii="Cambria Math" w:hAnsi="Cambria Math"/>
            <w:noProof/>
          </w:rPr>
          <m:t>i</m:t>
        </m:r>
      </m:oMath>
      <w:r w:rsidRPr="00E13523">
        <w:rPr>
          <w:noProof/>
        </w:rPr>
        <w:t xml:space="preserve"> with size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, </w:t>
      </w:r>
      <m:oMath>
        <m:r>
          <m:rPr>
            <m:sty m:val="p"/>
          </m:rPr>
          <w:rPr>
            <w:rFonts w:ascii="Cambria Math" w:hAnsi="Cambria Math"/>
            <w:noProof/>
          </w:rPr>
          <m:t>0≤</m:t>
        </m:r>
        <m:r>
          <w:rPr>
            <w:rFonts w:ascii="Cambria Math" w:hAnsi="Cambria Math"/>
            <w:noProof/>
          </w:rPr>
          <m:t>i</m:t>
        </m:r>
        <m:r>
          <m:rPr>
            <m:sty m:val="p"/>
          </m:rPr>
          <w:rPr>
            <w:rFonts w:ascii="Cambria Math" w:hAnsi="Cambria Math"/>
            <w:noProof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-1</m:t>
        </m:r>
      </m:oMath>
      <w:r w:rsidRPr="00E13523">
        <w:rPr>
          <w:noProof/>
        </w:rPr>
        <w:t>.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E13523">
        <w:rPr>
          <w:noProof/>
        </w:rPr>
        <w:t xml:space="preserve"> One rule could be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 is non-decreasing with </w:t>
      </w:r>
      <m:oMath>
        <m:r>
          <w:rPr>
            <w:rFonts w:ascii="Cambria Math" w:hAnsi="Cambria Math"/>
            <w:noProof/>
          </w:rPr>
          <m:t>i</m:t>
        </m:r>
      </m:oMath>
      <w:r w:rsidRPr="00E13523">
        <w:rPr>
          <w:noProof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s</m:t>
            </m:r>
          </m:sub>
        </m:sSub>
        <m:r>
          <w:rPr>
            <w:rFonts w:ascii="Cambria Math" w:hAnsi="Cambria Math"/>
            <w:noProof/>
          </w:rPr>
          <m:t>=⌈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total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3</m:t>
                </m:r>
              </m:sub>
            </m:sSub>
          </m:den>
        </m:f>
        <m:r>
          <w:rPr>
            <w:rFonts w:ascii="Cambria Math" w:hAnsi="Cambria Math"/>
            <w:noProof/>
          </w:rPr>
          <m:t>⌉</m:t>
        </m:r>
      </m:oMath>
      <w:r w:rsidRPr="00E13523">
        <w:rPr>
          <w:noProof/>
        </w:rPr>
        <w:t xml:space="preserve">, so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=...=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‍</m:t>
            </m:r>
          </m:e>
        </m:nary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, alternately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 can be arranged so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i</m:t>
            </m:r>
          </m:sub>
        </m:sSub>
      </m:oMath>
      <w:r w:rsidRPr="00E13523">
        <w:rPr>
          <w:noProof/>
        </w:rPr>
        <w:t xml:space="preserve"> is non-increasing with </w:t>
      </w:r>
      <m:oMath>
        <m:r>
          <w:rPr>
            <w:rFonts w:ascii="Cambria Math" w:hAnsi="Cambria Math"/>
            <w:noProof/>
          </w:rPr>
          <m:t>i</m:t>
        </m:r>
      </m:oMath>
      <w:r w:rsidRPr="00E13523">
        <w:rPr>
          <w:noProof/>
        </w:rPr>
        <w:t xml:space="preserve">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 is allowed to have 2, 3, 5 only as its prime factors to facilitate FFT/IFFT processing. All the allowed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 values are included in a 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,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,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''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,⋯}</m:t>
        </m:r>
      </m:oMath>
      <w:r w:rsidRPr="00E13523">
        <w:rPr>
          <w:noProof/>
        </w:rPr>
        <w:t xml:space="preserve">. Then 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, the least number from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 which is no smaller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</m:oMath>
      <w:r w:rsidRPr="00E13523">
        <w:rPr>
          <w:noProof/>
        </w:rPr>
        <w:t xml:space="preserve"> is chosen, let us assume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</m:oMath>
      <w:r w:rsidRPr="00E13523">
        <w:rPr>
          <w:noProof/>
        </w:rPr>
        <w:t xml:space="preserve"> is chosen.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E13523">
        <w:rPr>
          <w:noProof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&lt;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</m:oMath>
      <w:r w:rsidRPr="00E13523">
        <w:rPr>
          <w:noProof/>
        </w:rPr>
        <w:t xml:space="preserve">, then a pre-processing step is needed to pad some frequency units to segment </w:t>
      </w:r>
      <m:oMath>
        <m:r>
          <m:rPr>
            <m:sty m:val="p"/>
          </m:rPr>
          <w:rPr>
            <w:rFonts w:ascii="Cambria Math" w:hAnsi="Cambria Math"/>
            <w:noProof/>
          </w:rPr>
          <m:t>0</m:t>
        </m:r>
      </m:oMath>
      <w:r w:rsidRPr="00E13523">
        <w:rPr>
          <w:noProof/>
        </w:rPr>
        <w:t xml:space="preserve">, so the resulted number of frequency units in that segment is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</m:oMath>
      <w:r w:rsidRPr="00E13523">
        <w:rPr>
          <w:noProof/>
        </w:rPr>
        <w:t xml:space="preserve"> . Due to the padding process, precoders corresponding to the padded frequency units should be discarded by the network. Hence the padding process needs to be specified. </w:t>
      </w:r>
      <m:oMath>
        <m:r>
          <w:rPr>
            <w:rFonts w:ascii="Cambria Math" w:hAnsi="Cambria Math"/>
            <w:noProof/>
          </w:rPr>
          <m:t>⌈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noProof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N</m:t>
                </m:r>
                <m:ctrlPr>
                  <w:rPr>
                    <w:rFonts w:ascii="Cambria Math" w:hAnsi="Cambria Math"/>
                    <w:i/>
                    <w:noProof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2</m:t>
            </m:r>
          </m:den>
        </m:f>
        <m:r>
          <w:rPr>
            <w:rFonts w:ascii="Cambria Math" w:hAnsi="Cambria Math"/>
            <w:noProof/>
          </w:rPr>
          <m:t>⌉</m:t>
        </m:r>
      </m:oMath>
      <w:r w:rsidRPr="00E13523">
        <w:rPr>
          <w:noProof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noProof/>
          </w:rPr>
          <m:t>⌊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'</m:t>
                    </m:r>
                  </m:sup>
                </m:sSup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noProof/>
          </w:rPr>
          <m:t>⌋</m:t>
        </m:r>
      </m:oMath>
      <w:r>
        <w:rPr>
          <w:noProof/>
        </w:rPr>
        <w:t xml:space="preserve"> frequency units ( or </w:t>
      </w:r>
      <m:oMath>
        <m:r>
          <w:rPr>
            <w:rFonts w:ascii="Cambria Math" w:hAnsi="Cambria Math"/>
            <w:noProof/>
          </w:rPr>
          <m:t>⌈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2</m:t>
            </m:r>
          </m:den>
        </m:f>
        <m:r>
          <w:rPr>
            <w:rFonts w:ascii="Cambria Math" w:hAnsi="Cambria Math"/>
            <w:noProof/>
          </w:rPr>
          <m:t>⌉</m:t>
        </m:r>
      </m:oMath>
      <w:r w:rsidRPr="00E13523">
        <w:rPr>
          <w:noProof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noProof/>
          </w:rPr>
          <m:t>⌊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noProof/>
          </w:rPr>
          <m:t>⌋</m:t>
        </m:r>
      </m:oMath>
      <w:r>
        <w:rPr>
          <w:noProof/>
        </w:rPr>
        <w:t xml:space="preserve"> ) can be padd</w:t>
      </w:r>
      <w:r w:rsidRPr="00E13523">
        <w:rPr>
          <w:noProof/>
        </w:rPr>
        <w:t xml:space="preserve">ed at the beginning and end of the segment to result with a segment with the desired number of frequency units, e.g.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 xml:space="preserve"> or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</m:oMath>
      <w:r w:rsidRPr="00E13523">
        <w:rPr>
          <w:noProof/>
        </w:rPr>
        <w:t xml:space="preserve">. 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 w:rsidRPr="00E13523">
        <w:rPr>
          <w:noProof/>
        </w:rPr>
        <w:t xml:space="preserve">For small BWP configurations, such as one with 7 subbands, such a padding process is necessary. For other cases, frequency units in the neighboring segment for the edge segment can be included, for example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  <m:ctrlPr>
              <w:rPr>
                <w:rFonts w:ascii="Cambria Math" w:hAnsi="Cambria Math"/>
                <w:noProof/>
              </w:rPr>
            </m:ctrlPr>
          </m:sub>
          <m:sup>
            <m:r>
              <w:rPr>
                <w:rFonts w:ascii="Cambria Math" w:hAnsi="Cambria Math"/>
                <w:noProof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</m:oMath>
      <w:r w:rsidRPr="00E13523">
        <w:rPr>
          <w:noProof/>
        </w:rPr>
        <w:t xml:space="preserve"> (or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0</m:t>
            </m:r>
          </m:sub>
        </m:sSub>
        <m:r>
          <w:rPr>
            <w:rFonts w:ascii="Cambria Math" w:hAnsi="Cambria Math"/>
          </w:rPr>
          <m:t xml:space="preserve">) </m:t>
        </m:r>
      </m:oMath>
      <w:r w:rsidRPr="00E13523">
        <w:rPr>
          <w:noProof/>
        </w:rPr>
        <w:t xml:space="preserve">frequency units from segment 1 are included to segment 0, so the resulted number of frequency units is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  <m:ctrlPr>
              <w:rPr>
                <w:rFonts w:ascii="Cambria Math" w:hAnsi="Cambria Math"/>
                <w:i/>
                <w:noProof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'</m:t>
            </m:r>
          </m:sup>
        </m:sSubSup>
      </m:oMath>
      <w:r w:rsidRPr="00E13523">
        <w:rPr>
          <w:noProof/>
        </w:rPr>
        <w:t xml:space="preserve"> (or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3</m:t>
            </m:r>
          </m:sub>
        </m:sSub>
      </m:oMath>
      <w:r w:rsidRPr="00E13523">
        <w:rPr>
          <w:noProof/>
        </w:rPr>
        <w:t>) for segment 0, in another word overlapping frequency units with two neighboring segments are introduced, we can so a procedure frequency unit extension.</w:t>
      </w:r>
    </w:p>
    <w:p w:rsidR="00CA397B" w:rsidRPr="00E13523" w:rsidRDefault="00CA397B" w:rsidP="00CA397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CA397B" w:rsidRPr="00E13523" w:rsidRDefault="00CA397B" w:rsidP="00CA397B">
      <w:pPr>
        <w:keepNext/>
        <w:tabs>
          <w:tab w:val="center" w:pos="4800"/>
          <w:tab w:val="right" w:pos="9500"/>
        </w:tabs>
        <w:ind w:firstLine="720"/>
        <w:jc w:val="both"/>
      </w:pPr>
      <w:r w:rsidRPr="00E13523">
        <w:rPr>
          <w:noProof/>
          <w:lang w:val="en-US" w:eastAsia="zh-CN"/>
        </w:rPr>
        <w:lastRenderedPageBreak/>
        <w:drawing>
          <wp:inline distT="0" distB="0" distL="0" distR="0" wp14:anchorId="09A44E78" wp14:editId="7F6317DF">
            <wp:extent cx="3923324" cy="33034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3335" cy="331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97B" w:rsidRPr="00E13523" w:rsidRDefault="00CA397B" w:rsidP="00CA397B">
      <w:pPr>
        <w:pStyle w:val="Caption"/>
        <w:jc w:val="both"/>
        <w:rPr>
          <w:noProof/>
          <w:sz w:val="24"/>
          <w:szCs w:val="24"/>
        </w:rPr>
      </w:pPr>
      <w:r w:rsidRPr="00E13523">
        <w:rPr>
          <w:sz w:val="24"/>
          <w:szCs w:val="24"/>
        </w:rPr>
        <w:t xml:space="preserve">Figure </w:t>
      </w:r>
      <w:r w:rsidRPr="00E13523">
        <w:rPr>
          <w:sz w:val="24"/>
          <w:szCs w:val="24"/>
        </w:rPr>
        <w:fldChar w:fldCharType="begin"/>
      </w:r>
      <w:r w:rsidRPr="00E13523">
        <w:rPr>
          <w:sz w:val="24"/>
          <w:szCs w:val="24"/>
        </w:rPr>
        <w:instrText xml:space="preserve"> SEQ Figure \* ARABIC </w:instrText>
      </w:r>
      <w:r w:rsidRPr="00E13523">
        <w:rPr>
          <w:sz w:val="24"/>
          <w:szCs w:val="24"/>
        </w:rPr>
        <w:fldChar w:fldCharType="separate"/>
      </w:r>
      <w:r w:rsidR="000F0470">
        <w:rPr>
          <w:noProof/>
          <w:sz w:val="24"/>
          <w:szCs w:val="24"/>
        </w:rPr>
        <w:t>1</w:t>
      </w:r>
      <w:r w:rsidRPr="00E13523">
        <w:rPr>
          <w:sz w:val="24"/>
          <w:szCs w:val="24"/>
        </w:rPr>
        <w:fldChar w:fldCharType="end"/>
      </w:r>
      <w:r w:rsidRPr="00E13523">
        <w:rPr>
          <w:sz w:val="24"/>
          <w:szCs w:val="24"/>
        </w:rPr>
        <w:t xml:space="preserve"> Padding frequency units to achieve the desired number of frequency units in a segment</w:t>
      </w:r>
    </w:p>
    <w:p w:rsidR="00194C2F" w:rsidRDefault="00194C2F" w:rsidP="00CA397B">
      <w:pPr>
        <w:tabs>
          <w:tab w:val="center" w:pos="4800"/>
          <w:tab w:val="right" w:pos="9500"/>
        </w:tabs>
        <w:ind w:firstLine="720"/>
        <w:jc w:val="both"/>
        <w:rPr>
          <w:b/>
          <w:noProof/>
        </w:rPr>
      </w:pPr>
    </w:p>
    <w:p w:rsidR="00194C2F" w:rsidRPr="00CA397B" w:rsidRDefault="00D9678B" w:rsidP="00C84AEF">
      <w:pPr>
        <w:pStyle w:val="Heading2"/>
        <w:rPr>
          <w:noProof/>
        </w:rPr>
      </w:pPr>
      <w:r>
        <w:rPr>
          <w:noProof/>
        </w:rPr>
        <w:t>Discussion on Rank 3 and Rank 4 design</w:t>
      </w:r>
    </w:p>
    <w:p w:rsidR="0024441B" w:rsidRDefault="0024441B" w:rsidP="0024441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Many designs were proposed in the email discussion after RAN1 #96, and the proposed schemes are captured in [4]. Down selection is necessary so a few promising schemes can be further studied.</w:t>
      </w:r>
    </w:p>
    <w:p w:rsidR="0024441B" w:rsidRDefault="0024441B" w:rsidP="0024441B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From UE implementation point of view, when rank 3 and rank 4 are supported, expected spectrum efficiency for rank 1/2/3/4 needs to be calculated so the preferred transmisison rank (RI) can be determined by the UE. Testing the hypothesis with rank 3 and rank 4 should not involve re-evaluating every choice made for rank 1 or rank 2. For MU MIMO scheduling at the base station, the RI/PMI/CQI should allow the base station to choose a transmission rank lower than the reported rank, e.g. for MU MIMO pairing of two or more UEs. In this case, it is important the base station can derive a good precoder for rank 1 and rank 2  from a reported precoder for rank 4. Hence from both UE implementation and base station scheduling, the following should not be modified for the first two layers in a rank 3 or rank 4 precoder, compared with a rank 1 or rank 2 precoder:</w:t>
      </w:r>
    </w:p>
    <w:p w:rsidR="0024441B" w:rsidRDefault="0024441B" w:rsidP="0024441B">
      <w:pPr>
        <w:pStyle w:val="ListParagraph"/>
        <w:numPr>
          <w:ilvl w:val="0"/>
          <w:numId w:val="36"/>
        </w:num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SD selection including the value of L;</w:t>
      </w:r>
    </w:p>
    <w:p w:rsidR="0024441B" w:rsidRDefault="0024441B" w:rsidP="0024441B">
      <w:pPr>
        <w:pStyle w:val="ListParagraph"/>
        <w:numPr>
          <w:ilvl w:val="0"/>
          <w:numId w:val="36"/>
        </w:num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FD selection, including p and the FD component selection;</w:t>
      </w:r>
    </w:p>
    <w:p w:rsidR="0024441B" w:rsidRDefault="0024441B" w:rsidP="0024441B">
      <w:pPr>
        <w:pStyle w:val="ListParagraph"/>
        <w:numPr>
          <w:ilvl w:val="0"/>
          <w:numId w:val="36"/>
        </w:num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Coefficient selection, including Beta and the coefficient selection bitmap (</w:t>
      </w:r>
      <m:oMath>
        <m:r>
          <w:rPr>
            <w:rFonts w:ascii="Cambria Math" w:hAnsi="Cambria Math"/>
            <w:noProof/>
          </w:rPr>
          <m:t>2L×M</m:t>
        </m:r>
      </m:oMath>
      <w:r>
        <w:rPr>
          <w:noProof/>
        </w:rPr>
        <w:t>)</w:t>
      </w:r>
    </w:p>
    <w:p w:rsidR="00194C2F" w:rsidRDefault="0024441B" w:rsidP="00EC3738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To ensure that, the RRC configured parameters for the first two layers with rank 3 and rank 4</w:t>
      </w:r>
      <w:r w:rsidR="00CD56AF">
        <w:rPr>
          <w:noProof/>
        </w:rPr>
        <w:t>, including L, p and Beta</w:t>
      </w:r>
      <w:r>
        <w:rPr>
          <w:noProof/>
        </w:rPr>
        <w:t xml:space="preserve"> should be the same as the RRC configured p</w:t>
      </w:r>
      <w:r w:rsidR="000474C1">
        <w:rPr>
          <w:noProof/>
        </w:rPr>
        <w:t xml:space="preserve">arameters for rank 1 and rank 2. </w:t>
      </w:r>
      <w:r w:rsidR="00EC3738">
        <w:rPr>
          <w:noProof/>
        </w:rPr>
        <w:t xml:space="preserve"> </w:t>
      </w:r>
      <w:r w:rsidR="00957062">
        <w:rPr>
          <w:noProof/>
        </w:rPr>
        <w:t xml:space="preserve">We have </w:t>
      </w:r>
    </w:p>
    <w:p w:rsidR="00957062" w:rsidRPr="00EC3738" w:rsidRDefault="00EC3738" w:rsidP="00CA397B">
      <w:pPr>
        <w:tabs>
          <w:tab w:val="center" w:pos="4800"/>
          <w:tab w:val="right" w:pos="9500"/>
        </w:tabs>
        <w:ind w:firstLine="720"/>
        <w:jc w:val="both"/>
        <w:rPr>
          <w:b/>
          <w:noProof/>
        </w:rPr>
      </w:pPr>
      <w:r w:rsidRPr="00EC3738">
        <w:rPr>
          <w:b/>
          <w:noProof/>
        </w:rPr>
        <w:t>Proposal:</w:t>
      </w:r>
      <w:r w:rsidR="00957062" w:rsidRPr="00EC3738">
        <w:rPr>
          <w:b/>
          <w:noProof/>
        </w:rPr>
        <w:t xml:space="preserve"> </w:t>
      </w:r>
      <w:r w:rsidRPr="00EC3738">
        <w:rPr>
          <w:b/>
          <w:noProof/>
        </w:rPr>
        <w:t xml:space="preserve">the RRC configured parameters for the first two layers with rank 3 and rank 4, including L, p and Beta </w:t>
      </w:r>
      <w:r w:rsidRPr="00EC3738">
        <w:rPr>
          <w:b/>
          <w:noProof/>
        </w:rPr>
        <w:t>are</w:t>
      </w:r>
      <w:r w:rsidRPr="00EC3738">
        <w:rPr>
          <w:b/>
          <w:noProof/>
        </w:rPr>
        <w:t xml:space="preserve"> the same as the RRC configured parameters for rank 1 and rank 2.</w:t>
      </w:r>
      <w:r>
        <w:rPr>
          <w:noProof/>
        </w:rPr>
        <w:t xml:space="preserve">  </w:t>
      </w:r>
    </w:p>
    <w:p w:rsidR="007F73FE" w:rsidRPr="00E13523" w:rsidRDefault="007F73FE" w:rsidP="00C84AEF">
      <w:pPr>
        <w:tabs>
          <w:tab w:val="center" w:pos="4800"/>
          <w:tab w:val="right" w:pos="9500"/>
        </w:tabs>
        <w:jc w:val="both"/>
        <w:rPr>
          <w:noProof/>
        </w:rPr>
      </w:pPr>
      <w:bookmarkStart w:id="4" w:name="_Toc1125313"/>
      <w:bookmarkStart w:id="5" w:name="_Toc1129888"/>
      <w:bookmarkStart w:id="6" w:name="_Toc1130033"/>
      <w:bookmarkStart w:id="7" w:name="_Toc1130190"/>
      <w:bookmarkStart w:id="8" w:name="_Toc1134534"/>
      <w:bookmarkStart w:id="9" w:name="_Toc1125314"/>
      <w:bookmarkStart w:id="10" w:name="_Toc1129889"/>
      <w:bookmarkStart w:id="11" w:name="_Toc1130034"/>
      <w:bookmarkStart w:id="12" w:name="_Toc1130191"/>
      <w:bookmarkStart w:id="13" w:name="_Toc11345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F73FE" w:rsidRDefault="007F73FE" w:rsidP="007F73FE">
      <w:pPr>
        <w:pStyle w:val="Heading1"/>
      </w:pPr>
      <w:bookmarkStart w:id="14" w:name="_Toc1135820"/>
      <w:r>
        <w:t>Conclusions</w:t>
      </w:r>
      <w:bookmarkEnd w:id="14"/>
    </w:p>
    <w:p w:rsidR="007F73FE" w:rsidRDefault="007F73FE" w:rsidP="003F7E11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In this contribution, we provide our views on MU CSI enhancement. We have</w:t>
      </w:r>
    </w:p>
    <w:bookmarkEnd w:id="0"/>
    <w:bookmarkEnd w:id="1"/>
    <w:p w:rsidR="00AE1D4F" w:rsidRPr="00EC3738" w:rsidRDefault="00AE1D4F" w:rsidP="00AE1D4F">
      <w:pPr>
        <w:tabs>
          <w:tab w:val="center" w:pos="4800"/>
          <w:tab w:val="right" w:pos="9500"/>
        </w:tabs>
        <w:ind w:firstLine="720"/>
        <w:jc w:val="both"/>
        <w:rPr>
          <w:b/>
          <w:noProof/>
        </w:rPr>
      </w:pPr>
      <w:r w:rsidRPr="00EC3738">
        <w:rPr>
          <w:b/>
          <w:noProof/>
        </w:rPr>
        <w:t>Proposal: the RRC configured parameters for the first two layers with rank 3 and rank 4, including L, p and Beta are the same as the RRC configured parameters for rank 1 and rank 2.</w:t>
      </w:r>
      <w:r>
        <w:rPr>
          <w:noProof/>
        </w:rPr>
        <w:t xml:space="preserve">  </w:t>
      </w:r>
    </w:p>
    <w:p w:rsidR="0052470B" w:rsidRPr="00AE1D4F" w:rsidRDefault="0052470B" w:rsidP="0052470B">
      <w:pPr>
        <w:pStyle w:val="BodyText"/>
        <w:rPr>
          <w:sz w:val="28"/>
          <w:szCs w:val="28"/>
          <w:lang w:val="en-GB"/>
        </w:rPr>
      </w:pPr>
    </w:p>
    <w:p w:rsidR="0052470B" w:rsidRPr="00AE0ED7" w:rsidRDefault="0052470B" w:rsidP="0052470B">
      <w:pPr>
        <w:pStyle w:val="Heading1"/>
      </w:pPr>
      <w:bookmarkStart w:id="15" w:name="_Toc414034024"/>
      <w:bookmarkStart w:id="16" w:name="_Toc414034035"/>
      <w:bookmarkStart w:id="17" w:name="_Toc414043597"/>
      <w:bookmarkStart w:id="18" w:name="_Toc414351360"/>
      <w:bookmarkStart w:id="19" w:name="_Toc1135821"/>
      <w:r w:rsidRPr="00AE0ED7">
        <w:t>References</w:t>
      </w:r>
      <w:bookmarkEnd w:id="15"/>
      <w:bookmarkEnd w:id="16"/>
      <w:bookmarkEnd w:id="17"/>
      <w:bookmarkEnd w:id="18"/>
      <w:bookmarkEnd w:id="19"/>
    </w:p>
    <w:p w:rsidR="0052470B" w:rsidRDefault="0052470B" w:rsidP="0052470B">
      <w:pPr>
        <w:pStyle w:val="References"/>
        <w:numPr>
          <w:ilvl w:val="0"/>
          <w:numId w:val="33"/>
        </w:numPr>
        <w:rPr>
          <w:lang w:eastAsia="ja-JP"/>
        </w:rPr>
      </w:pPr>
      <w:bookmarkStart w:id="20" w:name="_Ref1132421"/>
      <w:r>
        <w:rPr>
          <w:rFonts w:hint="eastAsia"/>
          <w:lang w:eastAsia="ja-JP"/>
        </w:rPr>
        <w:t>R1-19</w:t>
      </w:r>
      <w:r w:rsidR="0024441B">
        <w:rPr>
          <w:lang w:eastAsia="ja-JP"/>
        </w:rPr>
        <w:t>0</w:t>
      </w:r>
      <w:r>
        <w:rPr>
          <w:rFonts w:hint="eastAsia"/>
          <w:lang w:eastAsia="ja-JP"/>
        </w:rPr>
        <w:t>1286</w:t>
      </w:r>
      <w:r w:rsidRPr="00294C0D">
        <w:rPr>
          <w:rFonts w:hint="eastAsia"/>
          <w:lang w:eastAsia="ja-JP"/>
        </w:rPr>
        <w:tab/>
      </w:r>
      <w:r>
        <w:rPr>
          <w:lang w:eastAsia="ja-JP"/>
        </w:rPr>
        <w:t>CSI enhancement for MU-MIMO, MediaTek, RAN1 AH 201901.</w:t>
      </w:r>
      <w:bookmarkEnd w:id="20"/>
    </w:p>
    <w:p w:rsidR="0052470B" w:rsidRDefault="0052470B" w:rsidP="0052470B">
      <w:pPr>
        <w:pStyle w:val="References"/>
        <w:numPr>
          <w:ilvl w:val="0"/>
          <w:numId w:val="33"/>
        </w:numPr>
        <w:rPr>
          <w:lang w:eastAsia="ja-JP"/>
        </w:rPr>
      </w:pPr>
      <w:bookmarkStart w:id="21" w:name="_Ref1135376"/>
      <w:r>
        <w:rPr>
          <w:rFonts w:hint="eastAsia"/>
          <w:lang w:eastAsia="ja-JP"/>
        </w:rPr>
        <w:t>R1-19</w:t>
      </w:r>
      <w:r w:rsidR="0024441B">
        <w:rPr>
          <w:lang w:eastAsia="ja-JP"/>
        </w:rPr>
        <w:t>0</w:t>
      </w:r>
      <w:r>
        <w:rPr>
          <w:rFonts w:hint="eastAsia"/>
          <w:lang w:eastAsia="ja-JP"/>
        </w:rPr>
        <w:t>2199</w:t>
      </w:r>
      <w:r w:rsidRPr="00294C0D">
        <w:rPr>
          <w:rFonts w:hint="eastAsia"/>
          <w:lang w:eastAsia="ja-JP"/>
        </w:rPr>
        <w:tab/>
      </w:r>
      <w:r>
        <w:rPr>
          <w:lang w:eastAsia="ja-JP"/>
        </w:rPr>
        <w:t>Discussion on quantization schemes, MediaTek, RAN1 #96.</w:t>
      </w:r>
      <w:bookmarkEnd w:id="21"/>
    </w:p>
    <w:p w:rsidR="0052470B" w:rsidRDefault="0052470B" w:rsidP="0052470B">
      <w:pPr>
        <w:pStyle w:val="References"/>
        <w:numPr>
          <w:ilvl w:val="0"/>
          <w:numId w:val="33"/>
        </w:numPr>
        <w:rPr>
          <w:lang w:eastAsia="ja-JP"/>
        </w:rPr>
      </w:pPr>
      <w:bookmarkStart w:id="22" w:name="_Ref1134660"/>
      <w:r>
        <w:rPr>
          <w:rFonts w:hint="eastAsia"/>
          <w:lang w:eastAsia="ja-JP"/>
        </w:rPr>
        <w:t>R1-19</w:t>
      </w:r>
      <w:r w:rsidR="0024441B">
        <w:rPr>
          <w:lang w:eastAsia="ja-JP"/>
        </w:rPr>
        <w:t>0</w:t>
      </w:r>
      <w:r>
        <w:rPr>
          <w:rFonts w:hint="eastAsia"/>
          <w:lang w:eastAsia="ja-JP"/>
        </w:rPr>
        <w:t>2</w:t>
      </w:r>
      <w:r>
        <w:rPr>
          <w:lang w:eastAsia="ja-JP"/>
        </w:rPr>
        <w:t>200</w:t>
      </w:r>
      <w:r w:rsidRPr="00294C0D">
        <w:rPr>
          <w:rFonts w:hint="eastAsia"/>
          <w:lang w:eastAsia="ja-JP"/>
        </w:rPr>
        <w:tab/>
      </w:r>
      <w:r>
        <w:rPr>
          <w:lang w:eastAsia="ja-JP"/>
        </w:rPr>
        <w:t xml:space="preserve">Discussion on FD component selection and coefficient </w:t>
      </w:r>
      <w:r w:rsidR="00194C2F">
        <w:rPr>
          <w:lang w:eastAsia="ja-JP"/>
        </w:rPr>
        <w:t xml:space="preserve">subset </w:t>
      </w:r>
      <w:r>
        <w:rPr>
          <w:lang w:eastAsia="ja-JP"/>
        </w:rPr>
        <w:t>selection, MediaTek, RAN1 #96.</w:t>
      </w:r>
      <w:bookmarkEnd w:id="22"/>
    </w:p>
    <w:p w:rsidR="0024441B" w:rsidRPr="0024441B" w:rsidRDefault="0024441B" w:rsidP="0024441B">
      <w:pPr>
        <w:rPr>
          <w:lang w:val="en-US" w:eastAsia="ja-JP"/>
        </w:rPr>
      </w:pPr>
      <w:r>
        <w:rPr>
          <w:lang w:val="en-US" w:eastAsia="ja-JP"/>
        </w:rPr>
        <w:t xml:space="preserve">[4]  </w:t>
      </w:r>
      <w:r w:rsidRPr="0024441B">
        <w:rPr>
          <w:lang w:val="en-US" w:eastAsia="ja-JP"/>
        </w:rPr>
        <w:t xml:space="preserve">R1-1903822 </w:t>
      </w:r>
      <w:r w:rsidRPr="0024441B">
        <w:rPr>
          <w:lang w:val="en-US" w:eastAsia="ja-JP"/>
        </w:rPr>
        <w:tab/>
        <w:t>Summary of email discussion [96-NR-08] on parameter setting for RI=3-4 extension</w:t>
      </w:r>
      <w:r>
        <w:rPr>
          <w:lang w:val="en-US" w:eastAsia="ja-JP"/>
        </w:rPr>
        <w:t>, Samsung RAN1 #96.</w:t>
      </w:r>
    </w:p>
    <w:p w:rsidR="0052470B" w:rsidRPr="00BF7FAA" w:rsidRDefault="0052470B" w:rsidP="00C84AEF">
      <w:pPr>
        <w:rPr>
          <w:lang w:eastAsia="ja-JP"/>
        </w:rPr>
      </w:pPr>
    </w:p>
    <w:p w:rsidR="0052470B" w:rsidRPr="00C84AEF" w:rsidRDefault="0052470B" w:rsidP="00C84AEF">
      <w:pPr>
        <w:rPr>
          <w:lang w:eastAsia="ja-JP"/>
        </w:rPr>
      </w:pPr>
    </w:p>
    <w:p w:rsidR="0052470B" w:rsidRPr="00C84AEF" w:rsidRDefault="0052470B" w:rsidP="00C84AEF">
      <w:pPr>
        <w:rPr>
          <w:lang w:eastAsia="ja-JP"/>
        </w:rPr>
      </w:pPr>
    </w:p>
    <w:p w:rsidR="0052470B" w:rsidRPr="00C84AEF" w:rsidRDefault="0052470B" w:rsidP="00C84AEF">
      <w:pPr>
        <w:rPr>
          <w:lang w:eastAsia="ja-JP"/>
        </w:rPr>
      </w:pPr>
    </w:p>
    <w:p w:rsidR="0052470B" w:rsidRPr="00C84AEF" w:rsidRDefault="0052470B" w:rsidP="00C84AEF">
      <w:pPr>
        <w:rPr>
          <w:lang w:eastAsia="ja-JP"/>
        </w:rPr>
      </w:pPr>
    </w:p>
    <w:p w:rsidR="0052470B" w:rsidRPr="00C84AEF" w:rsidRDefault="0052470B" w:rsidP="00C84AEF">
      <w:pPr>
        <w:rPr>
          <w:lang w:eastAsia="ja-JP"/>
        </w:rPr>
      </w:pPr>
    </w:p>
    <w:p w:rsidR="00445DDE" w:rsidRPr="00C84AEF" w:rsidRDefault="00445DDE" w:rsidP="003F7E11">
      <w:pPr>
        <w:tabs>
          <w:tab w:val="center" w:pos="4800"/>
          <w:tab w:val="right" w:pos="9500"/>
        </w:tabs>
        <w:jc w:val="both"/>
        <w:rPr>
          <w:noProof/>
          <w:lang w:val="en-US"/>
        </w:rPr>
      </w:pPr>
    </w:p>
    <w:sectPr w:rsidR="00445DDE" w:rsidRPr="00C84AEF" w:rsidSect="00D015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9A3" w:rsidRDefault="00CE79A3" w:rsidP="00EA7ECC">
      <w:pPr>
        <w:spacing w:after="0"/>
      </w:pPr>
      <w:r>
        <w:separator/>
      </w:r>
    </w:p>
  </w:endnote>
  <w:endnote w:type="continuationSeparator" w:id="0">
    <w:p w:rsidR="00CE79A3" w:rsidRDefault="00CE79A3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9A3" w:rsidRDefault="00CE79A3" w:rsidP="00EA7ECC">
      <w:pPr>
        <w:spacing w:after="0"/>
      </w:pPr>
      <w:r>
        <w:separator/>
      </w:r>
    </w:p>
  </w:footnote>
  <w:footnote w:type="continuationSeparator" w:id="0">
    <w:p w:rsidR="00CE79A3" w:rsidRDefault="00CE79A3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AEF" w:rsidRDefault="00C84A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05A71"/>
    <w:multiLevelType w:val="hybridMultilevel"/>
    <w:tmpl w:val="B2363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D45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2B7CA1"/>
    <w:multiLevelType w:val="hybridMultilevel"/>
    <w:tmpl w:val="18F619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90608"/>
    <w:multiLevelType w:val="hybridMultilevel"/>
    <w:tmpl w:val="D51C1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B4EA0"/>
    <w:multiLevelType w:val="hybridMultilevel"/>
    <w:tmpl w:val="43F438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51929"/>
    <w:multiLevelType w:val="hybridMultilevel"/>
    <w:tmpl w:val="FB78BB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DBD43C3"/>
    <w:multiLevelType w:val="hybridMultilevel"/>
    <w:tmpl w:val="AFAA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620D0"/>
    <w:multiLevelType w:val="hybridMultilevel"/>
    <w:tmpl w:val="094A9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F640D"/>
    <w:multiLevelType w:val="hybridMultilevel"/>
    <w:tmpl w:val="24984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E5656"/>
    <w:multiLevelType w:val="hybridMultilevel"/>
    <w:tmpl w:val="60447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763E2"/>
    <w:multiLevelType w:val="hybridMultilevel"/>
    <w:tmpl w:val="47F4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F092E"/>
    <w:multiLevelType w:val="hybridMultilevel"/>
    <w:tmpl w:val="99B0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6"/>
  </w:num>
  <w:num w:numId="4">
    <w:abstractNumId w:val="1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4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0"/>
  </w:num>
  <w:num w:numId="12">
    <w:abstractNumId w:val="8"/>
  </w:num>
  <w:num w:numId="13">
    <w:abstractNumId w:val="22"/>
  </w:num>
  <w:num w:numId="14">
    <w:abstractNumId w:val="25"/>
  </w:num>
  <w:num w:numId="15">
    <w:abstractNumId w:val="30"/>
  </w:num>
  <w:num w:numId="16">
    <w:abstractNumId w:val="29"/>
  </w:num>
  <w:num w:numId="17">
    <w:abstractNumId w:val="24"/>
  </w:num>
  <w:num w:numId="18">
    <w:abstractNumId w:val="27"/>
  </w:num>
  <w:num w:numId="19">
    <w:abstractNumId w:val="18"/>
  </w:num>
  <w:num w:numId="20">
    <w:abstractNumId w:val="33"/>
  </w:num>
  <w:num w:numId="21">
    <w:abstractNumId w:val="1"/>
  </w:num>
  <w:num w:numId="22">
    <w:abstractNumId w:val="9"/>
  </w:num>
  <w:num w:numId="23">
    <w:abstractNumId w:val="19"/>
  </w:num>
  <w:num w:numId="24">
    <w:abstractNumId w:val="16"/>
  </w:num>
  <w:num w:numId="25">
    <w:abstractNumId w:val="6"/>
  </w:num>
  <w:num w:numId="26">
    <w:abstractNumId w:val="23"/>
  </w:num>
  <w:num w:numId="27">
    <w:abstractNumId w:val="12"/>
  </w:num>
  <w:num w:numId="28">
    <w:abstractNumId w:val="10"/>
  </w:num>
  <w:num w:numId="29">
    <w:abstractNumId w:val="2"/>
  </w:num>
  <w:num w:numId="30">
    <w:abstractNumId w:val="32"/>
  </w:num>
  <w:num w:numId="31">
    <w:abstractNumId w:val="17"/>
  </w:num>
  <w:num w:numId="32">
    <w:abstractNumId w:val="14"/>
  </w:num>
  <w:num w:numId="33">
    <w:abstractNumId w:val="13"/>
  </w:num>
  <w:num w:numId="34">
    <w:abstractNumId w:val="4"/>
  </w:num>
  <w:num w:numId="35">
    <w:abstractNumId w:val="5"/>
  </w:num>
  <w:num w:numId="36">
    <w:abstractNumId w:val="7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51C6"/>
    <w:rsid w:val="00015B52"/>
    <w:rsid w:val="000314FD"/>
    <w:rsid w:val="000402CD"/>
    <w:rsid w:val="000474C1"/>
    <w:rsid w:val="00061C44"/>
    <w:rsid w:val="000A6C21"/>
    <w:rsid w:val="000C165F"/>
    <w:rsid w:val="000E35C5"/>
    <w:rsid w:val="000F0470"/>
    <w:rsid w:val="0011553A"/>
    <w:rsid w:val="00161869"/>
    <w:rsid w:val="001938D9"/>
    <w:rsid w:val="00194C2F"/>
    <w:rsid w:val="001A6596"/>
    <w:rsid w:val="001D0D11"/>
    <w:rsid w:val="001D4A6A"/>
    <w:rsid w:val="0020497F"/>
    <w:rsid w:val="00226D75"/>
    <w:rsid w:val="0024441B"/>
    <w:rsid w:val="002651FC"/>
    <w:rsid w:val="00277CC4"/>
    <w:rsid w:val="0029713B"/>
    <w:rsid w:val="002C5D68"/>
    <w:rsid w:val="002D1FB0"/>
    <w:rsid w:val="002D2C23"/>
    <w:rsid w:val="002E5B3E"/>
    <w:rsid w:val="002F3F7F"/>
    <w:rsid w:val="0030039C"/>
    <w:rsid w:val="003550DF"/>
    <w:rsid w:val="00360BD3"/>
    <w:rsid w:val="00394EB5"/>
    <w:rsid w:val="003A5F15"/>
    <w:rsid w:val="003B6C51"/>
    <w:rsid w:val="003E4A3D"/>
    <w:rsid w:val="003F7E11"/>
    <w:rsid w:val="00403B00"/>
    <w:rsid w:val="004052DB"/>
    <w:rsid w:val="00425A12"/>
    <w:rsid w:val="00445DDE"/>
    <w:rsid w:val="00461E7A"/>
    <w:rsid w:val="00471D4B"/>
    <w:rsid w:val="004B42A1"/>
    <w:rsid w:val="004B501C"/>
    <w:rsid w:val="004B612E"/>
    <w:rsid w:val="004C365C"/>
    <w:rsid w:val="004D75FF"/>
    <w:rsid w:val="004F11FB"/>
    <w:rsid w:val="005037BF"/>
    <w:rsid w:val="00516A28"/>
    <w:rsid w:val="0052470B"/>
    <w:rsid w:val="005420B3"/>
    <w:rsid w:val="00553194"/>
    <w:rsid w:val="005649A0"/>
    <w:rsid w:val="005A6097"/>
    <w:rsid w:val="00656C18"/>
    <w:rsid w:val="00657F00"/>
    <w:rsid w:val="006C1F55"/>
    <w:rsid w:val="006C7305"/>
    <w:rsid w:val="006E0F46"/>
    <w:rsid w:val="00732790"/>
    <w:rsid w:val="00745B67"/>
    <w:rsid w:val="007718EB"/>
    <w:rsid w:val="007A733A"/>
    <w:rsid w:val="007D58F2"/>
    <w:rsid w:val="007F73FE"/>
    <w:rsid w:val="007F7673"/>
    <w:rsid w:val="00824A65"/>
    <w:rsid w:val="00855258"/>
    <w:rsid w:val="008C494F"/>
    <w:rsid w:val="008D0C47"/>
    <w:rsid w:val="008E1E4D"/>
    <w:rsid w:val="00943F5F"/>
    <w:rsid w:val="00957062"/>
    <w:rsid w:val="0097785A"/>
    <w:rsid w:val="0098143A"/>
    <w:rsid w:val="00983EC0"/>
    <w:rsid w:val="00995F81"/>
    <w:rsid w:val="009A317B"/>
    <w:rsid w:val="009C0D63"/>
    <w:rsid w:val="009D591A"/>
    <w:rsid w:val="009E21EB"/>
    <w:rsid w:val="009E2DD9"/>
    <w:rsid w:val="009F1845"/>
    <w:rsid w:val="009F38D8"/>
    <w:rsid w:val="00A17442"/>
    <w:rsid w:val="00A82C11"/>
    <w:rsid w:val="00AA04CF"/>
    <w:rsid w:val="00AB5F2C"/>
    <w:rsid w:val="00AD601D"/>
    <w:rsid w:val="00AE1D4F"/>
    <w:rsid w:val="00AF7D62"/>
    <w:rsid w:val="00B05F52"/>
    <w:rsid w:val="00B12384"/>
    <w:rsid w:val="00B3048B"/>
    <w:rsid w:val="00B3078E"/>
    <w:rsid w:val="00B30B4D"/>
    <w:rsid w:val="00B41A31"/>
    <w:rsid w:val="00B53FA4"/>
    <w:rsid w:val="00BA2E60"/>
    <w:rsid w:val="00BC48C0"/>
    <w:rsid w:val="00BE1C6A"/>
    <w:rsid w:val="00BE1F25"/>
    <w:rsid w:val="00BF7FAA"/>
    <w:rsid w:val="00C203D4"/>
    <w:rsid w:val="00C32CCA"/>
    <w:rsid w:val="00C3553C"/>
    <w:rsid w:val="00C37FEE"/>
    <w:rsid w:val="00C5178A"/>
    <w:rsid w:val="00C74A9F"/>
    <w:rsid w:val="00C84AEF"/>
    <w:rsid w:val="00C86401"/>
    <w:rsid w:val="00CA3108"/>
    <w:rsid w:val="00CA397B"/>
    <w:rsid w:val="00CB393E"/>
    <w:rsid w:val="00CB3B65"/>
    <w:rsid w:val="00CD2380"/>
    <w:rsid w:val="00CD3528"/>
    <w:rsid w:val="00CD56AF"/>
    <w:rsid w:val="00CE79A3"/>
    <w:rsid w:val="00D01516"/>
    <w:rsid w:val="00D021BB"/>
    <w:rsid w:val="00D05E3C"/>
    <w:rsid w:val="00D50A7D"/>
    <w:rsid w:val="00D675D8"/>
    <w:rsid w:val="00D72B42"/>
    <w:rsid w:val="00D756E8"/>
    <w:rsid w:val="00D920B4"/>
    <w:rsid w:val="00D9678B"/>
    <w:rsid w:val="00DC4E20"/>
    <w:rsid w:val="00DC6811"/>
    <w:rsid w:val="00E10B96"/>
    <w:rsid w:val="00E1377C"/>
    <w:rsid w:val="00EA082A"/>
    <w:rsid w:val="00EA7ECC"/>
    <w:rsid w:val="00EC3738"/>
    <w:rsid w:val="00ED0ED0"/>
    <w:rsid w:val="00EE2B7B"/>
    <w:rsid w:val="00F30D7A"/>
    <w:rsid w:val="00F358C6"/>
    <w:rsid w:val="00F57D78"/>
    <w:rsid w:val="00F61CBA"/>
    <w:rsid w:val="00F95A44"/>
    <w:rsid w:val="00FA18A2"/>
    <w:rsid w:val="00FC21AA"/>
    <w:rsid w:val="00FD4A82"/>
    <w:rsid w:val="00FE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FB0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,UNDERRUBRIK 1-2,Header 2,Header2,22,heading2,2nd level,H21,H22,H23,H24,H25,R2,E2,†berschrift 2,õberschrift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uiPriority w:val="9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aliases w:val="Table Heading"/>
    <w:basedOn w:val="Heading1"/>
    <w:next w:val="Normal"/>
    <w:link w:val="Heading8Char"/>
    <w:uiPriority w:val="9"/>
    <w:qFormat/>
    <w:rsid w:val="002D1FB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er 2 Char,Header2 Char,22 Char,heading2 Char,2nd level Char,H21 Char,H22 Char,H23 Char,H24 Char,H25 Char,R2 Char,E2 Char"/>
    <w:basedOn w:val="DefaultParagraphFont"/>
    <w:link w:val="Heading2"/>
    <w:uiPriority w:val="9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Underrubrik2 Char,H3 Char,no break Char,Memo Heading 3 Char,h3 Char,3 Char,hello Char,Titre 3 Car Char,no break Car Char,H3 Car Char,Underrubrik2 Car Char,h3 Car Char,Memo Heading 3 Car Char,hello Car Char"/>
    <w:basedOn w:val="DefaultParagraphFont"/>
    <w:link w:val="Heading3"/>
    <w:uiPriority w:val="9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FB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CA397B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CA397B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rsid w:val="00CA397B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CA397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CA397B"/>
    <w:pPr>
      <w:spacing w:after="120"/>
      <w:jc w:val="both"/>
    </w:pPr>
    <w:rPr>
      <w:rFonts w:eastAsia="MS Mincho"/>
      <w:sz w:val="24"/>
      <w:szCs w:val="24"/>
      <w:lang w:val="en-US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CA397B"/>
    <w:rPr>
      <w:rFonts w:ascii="Times New Roman" w:eastAsia="MS Mincho" w:hAnsi="Times New Roman" w:cs="Times New Roman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3EC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2651FC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651F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E2DD9"/>
    <w:pPr>
      <w:spacing w:after="100"/>
      <w:ind w:left="200"/>
    </w:pPr>
  </w:style>
  <w:style w:type="paragraph" w:customStyle="1" w:styleId="References">
    <w:name w:val="References"/>
    <w:basedOn w:val="Normal"/>
    <w:next w:val="Normal"/>
    <w:rsid w:val="0052470B"/>
    <w:pPr>
      <w:numPr>
        <w:numId w:val="32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C9BF-215F-446B-9C17-0D5F65E5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2019-03-29T17:38:00Z</dcterms:created>
  <dcterms:modified xsi:type="dcterms:W3CDTF">2019-03-29T21:05:00Z</dcterms:modified>
</cp:coreProperties>
</file>